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22.02.2017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14:30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ungewiss wegen arbeitszeiten - 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bitte anrufen und nachfragen speat abend 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nachfragen speat abend 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Aylin Schwarz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Attenkirchen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mann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Simon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etwa 50 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Schneider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00498752417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Aign 32</w:t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85395 Attenkirchen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/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Satteldach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>2</w:t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>Holz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ja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hat eine einspeisung kw weis er nicht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pvstrom</w:t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>Einspeisung - / arbeitet Landschaft ungewisse Uhrze?ten für den Termin  - // Satteldach -!N2 Personen / holz // - normalverbrauch auser einspeisung ?st letze abrechnung jul? we?s n?cht wie v?el . </w:t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Einspeisung - / arbeitet Landschaft ungewisse Uhrze?ten für den Termin  - // Satteldach -
2 Personen / holz // - normalverbrauch auser einspeisung ?st letze abrechnung jul? we?s n?cht wie v?el . 
er möchte die beratung auf jeden fall anhören ?st ?nterres?ert jedoch haben d?e e?ne e?gene landw?rtschaft er hat sehr 
ungew?sse arbe?tsze?ten b?tte vor ort anrufen ob erre?chbar oder speat abend term?n?eren . schwarz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