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22.02.2017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13:20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 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Freitag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24.02.2017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13.00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Claudia Galant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Hörgertshausen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>mann</w:t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Josef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45-50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Sittenauer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00498764239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85413 Hrgertshausen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>m</w:t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ja</w:t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>Verbraucht 5.000 KWH im Monat</w:t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>Holz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nein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pvstrom</w:t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>Agent: GALANT!NKann eine Firma sein ich bin mir nicht ganz sicher. Hört sich neugierig an.  Habe leider die Adresse nicht wahrnehmen können.</w:t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Kann eine Firma sein ich bin mir nicht ganz sicher. Hört sich neugierig an.  Habe leider die Adresse nicht wahrnehmen können.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