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18.02.2017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12:06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mittwoch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22.02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18:30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Diana Herrmann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Tiefenbach, Kreis Landshut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Jürgen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Jedlitschka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00498719740499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Schloßberg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84184 Tiefenbach, Kreis Landshut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m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4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wärmepumpe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mehr als 50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nein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selber entscheider, mochte die beratung anhoren. 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